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218" w:afterLines="70" w:line="640" w:lineRule="exact"/>
        <w:ind w:left="0" w:leftChars="0" w:firstLine="0" w:firstLineChars="0"/>
        <w:jc w:val="center"/>
        <w:rPr>
          <w:rFonts w:ascii="方正小标宋简体" w:hAnsi="方正小标宋_GBK" w:eastAsia="方正小标宋简体" w:cs="方正小标宋_GBK"/>
          <w:sz w:val="40"/>
          <w:szCs w:val="40"/>
        </w:rPr>
      </w:pPr>
      <w:r>
        <w:rPr>
          <w:rFonts w:hint="eastAsia" w:ascii="方正小标宋简体" w:hAnsi="方正小标宋_GBK" w:eastAsia="方正小标宋简体" w:cs="方正小标宋_GBK"/>
          <w:sz w:val="40"/>
          <w:szCs w:val="40"/>
        </w:rPr>
        <w:t>2023年度省级工程建设招投标领域“双随机</w:t>
      </w:r>
      <w:r>
        <w:rPr>
          <w:rFonts w:hint="eastAsia" w:ascii="方正小标宋简体" w:hAnsi="方正小标宋_GBK" w:eastAsia="方正小标宋简体" w:cs="方正小标宋_GBK"/>
          <w:sz w:val="40"/>
          <w:szCs w:val="40"/>
          <w:lang w:eastAsia="zh-CN"/>
        </w:rPr>
        <w:t>、</w:t>
      </w:r>
      <w:bookmarkStart w:id="0" w:name="_GoBack"/>
      <w:bookmarkEnd w:id="0"/>
      <w:r>
        <w:rPr>
          <w:rFonts w:hint="eastAsia" w:ascii="方正小标宋简体" w:hAnsi="方正小标宋_GBK" w:eastAsia="方正小标宋简体" w:cs="方正小标宋_GBK"/>
          <w:sz w:val="40"/>
          <w:szCs w:val="40"/>
        </w:rPr>
        <w:t>一公开”联合检查结果表</w:t>
      </w:r>
    </w:p>
    <w:tbl>
      <w:tblPr>
        <w:tblStyle w:val="9"/>
        <w:tblW w:w="5116"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1" w:type="dxa"/>
          <w:bottom w:w="0" w:type="dxa"/>
          <w:right w:w="51" w:type="dxa"/>
        </w:tblCellMar>
      </w:tblPr>
      <w:tblGrid>
        <w:gridCol w:w="710"/>
        <w:gridCol w:w="5530"/>
        <w:gridCol w:w="3403"/>
        <w:gridCol w:w="2525"/>
        <w:gridCol w:w="1417"/>
        <w:gridCol w:w="8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5000" w:type="pct"/>
            <w:gridSpan w:val="6"/>
            <w:shd w:val="clear" w:color="auto" w:fill="auto"/>
            <w:noWrap/>
            <w:vAlign w:val="center"/>
          </w:tcPr>
          <w:p>
            <w:pPr>
              <w:widowControl/>
              <w:adjustRightInd w:val="0"/>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房建类项目（30个）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黑体" w:hAnsi="黑体" w:eastAsia="黑体" w:cs="宋体"/>
                <w:bCs/>
                <w:kern w:val="0"/>
                <w:sz w:val="28"/>
                <w:szCs w:val="28"/>
              </w:rPr>
            </w:pPr>
            <w:r>
              <w:rPr>
                <w:rFonts w:hint="eastAsia" w:ascii="黑体" w:hAnsi="黑体" w:eastAsia="黑体" w:cs="宋体"/>
                <w:bCs/>
                <w:kern w:val="0"/>
                <w:sz w:val="28"/>
                <w:szCs w:val="28"/>
              </w:rPr>
              <w:t>序号</w:t>
            </w:r>
          </w:p>
        </w:tc>
        <w:tc>
          <w:tcPr>
            <w:tcW w:w="1916" w:type="pct"/>
            <w:shd w:val="clear" w:color="auto" w:fill="auto"/>
            <w:vAlign w:val="center"/>
          </w:tcPr>
          <w:p>
            <w:pPr>
              <w:widowControl/>
              <w:adjustRightInd w:val="0"/>
              <w:snapToGrid w:val="0"/>
              <w:jc w:val="center"/>
              <w:rPr>
                <w:rFonts w:ascii="黑体" w:hAnsi="黑体" w:eastAsia="黑体" w:cs="宋体"/>
                <w:bCs/>
                <w:kern w:val="0"/>
                <w:sz w:val="28"/>
                <w:szCs w:val="28"/>
              </w:rPr>
            </w:pPr>
            <w:r>
              <w:rPr>
                <w:rFonts w:hint="eastAsia" w:ascii="黑体" w:hAnsi="黑体" w:eastAsia="黑体" w:cs="宋体"/>
                <w:bCs/>
                <w:kern w:val="0"/>
                <w:sz w:val="28"/>
                <w:szCs w:val="28"/>
              </w:rPr>
              <w:t>检查对象名称</w:t>
            </w:r>
          </w:p>
        </w:tc>
        <w:tc>
          <w:tcPr>
            <w:tcW w:w="1179" w:type="pct"/>
            <w:shd w:val="clear" w:color="auto" w:fill="auto"/>
            <w:vAlign w:val="center"/>
          </w:tcPr>
          <w:p>
            <w:pPr>
              <w:widowControl/>
              <w:adjustRightInd w:val="0"/>
              <w:snapToGrid w:val="0"/>
              <w:jc w:val="center"/>
              <w:rPr>
                <w:rFonts w:ascii="黑体" w:hAnsi="黑体" w:eastAsia="黑体" w:cs="宋体"/>
                <w:bCs/>
                <w:kern w:val="0"/>
                <w:sz w:val="28"/>
                <w:szCs w:val="28"/>
              </w:rPr>
            </w:pPr>
            <w:r>
              <w:rPr>
                <w:rFonts w:hint="eastAsia" w:ascii="黑体" w:hAnsi="黑体" w:eastAsia="黑体" w:cs="宋体"/>
                <w:bCs/>
                <w:kern w:val="0"/>
                <w:sz w:val="28"/>
                <w:szCs w:val="28"/>
              </w:rPr>
              <w:t>检查对象唯一编码</w:t>
            </w:r>
          </w:p>
        </w:tc>
        <w:tc>
          <w:tcPr>
            <w:tcW w:w="875" w:type="pct"/>
            <w:shd w:val="clear" w:color="auto" w:fill="auto"/>
            <w:vAlign w:val="center"/>
          </w:tcPr>
          <w:p>
            <w:pPr>
              <w:widowControl/>
              <w:adjustRightInd w:val="0"/>
              <w:snapToGrid w:val="0"/>
              <w:jc w:val="center"/>
              <w:rPr>
                <w:rFonts w:ascii="黑体" w:hAnsi="黑体" w:eastAsia="黑体" w:cs="宋体"/>
                <w:bCs/>
                <w:kern w:val="0"/>
                <w:sz w:val="28"/>
                <w:szCs w:val="28"/>
              </w:rPr>
            </w:pPr>
            <w:r>
              <w:rPr>
                <w:rFonts w:hint="eastAsia" w:ascii="黑体" w:hAnsi="黑体" w:eastAsia="黑体" w:cs="宋体"/>
                <w:bCs/>
                <w:kern w:val="0"/>
                <w:sz w:val="28"/>
                <w:szCs w:val="28"/>
              </w:rPr>
              <w:t>检查结果</w:t>
            </w:r>
          </w:p>
        </w:tc>
        <w:tc>
          <w:tcPr>
            <w:tcW w:w="491" w:type="pct"/>
            <w:shd w:val="clear" w:color="auto" w:fill="auto"/>
            <w:vAlign w:val="center"/>
          </w:tcPr>
          <w:p>
            <w:pPr>
              <w:widowControl/>
              <w:adjustRightInd w:val="0"/>
              <w:snapToGrid w:val="0"/>
              <w:jc w:val="center"/>
              <w:rPr>
                <w:rFonts w:ascii="黑体" w:hAnsi="黑体" w:eastAsia="黑体" w:cs="宋体"/>
                <w:bCs/>
                <w:kern w:val="0"/>
                <w:sz w:val="28"/>
                <w:szCs w:val="28"/>
              </w:rPr>
            </w:pPr>
            <w:r>
              <w:rPr>
                <w:rFonts w:hint="eastAsia" w:ascii="黑体" w:hAnsi="黑体" w:eastAsia="黑体" w:cs="宋体"/>
                <w:bCs/>
                <w:kern w:val="0"/>
                <w:sz w:val="28"/>
                <w:szCs w:val="28"/>
              </w:rPr>
              <w:t>处理意见</w:t>
            </w:r>
          </w:p>
        </w:tc>
        <w:tc>
          <w:tcPr>
            <w:tcW w:w="294" w:type="pct"/>
            <w:shd w:val="clear" w:color="auto" w:fill="auto"/>
            <w:vAlign w:val="center"/>
          </w:tcPr>
          <w:p>
            <w:pPr>
              <w:widowControl/>
              <w:adjustRightInd w:val="0"/>
              <w:snapToGrid w:val="0"/>
              <w:jc w:val="center"/>
              <w:rPr>
                <w:rFonts w:ascii="黑体" w:hAnsi="黑体" w:eastAsia="黑体" w:cs="宋体"/>
                <w:bCs/>
                <w:kern w:val="0"/>
                <w:sz w:val="28"/>
                <w:szCs w:val="28"/>
              </w:rPr>
            </w:pPr>
            <w:r>
              <w:rPr>
                <w:rFonts w:hint="eastAsia" w:ascii="黑体" w:hAnsi="黑体" w:eastAsia="黑体" w:cs="宋体"/>
                <w:bCs/>
                <w:kern w:val="0"/>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湖北大学学生公寓</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HBSJ-202006FJ-073004001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2</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国际绿创中心（长江新城起步区A、B、C、D地块）</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HBSJ-202108FJ-169007001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3</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游泳训练场建设</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HBSJ-202212FJ-205001001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4</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武汉轻工大学现代农产品加工产业技术创新示范中心建设项目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HBSJ-202305FJ-073002001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5</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南航武汉机场北工作区项目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HBSJ-201903FJ-012007001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6</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华中师范大学文科科研楼</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HBSJ-201812FJ-591014001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7</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中科院-武汉大学科教融合协同创新基地</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HBSJ-202112FJ-249004001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8</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湖北广电传媒大厦</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HBSJ-201904FJ-011047001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9</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联投中北路商务金融用地、公园与绿地项目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HBSJ-202107FJ-144007001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10</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湖北新型绿色智能金属加工项目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HBSJ-202302FJ-015003001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11</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华中科技大学2023年改善基本办学条件专项</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HBSJ-202303FJ-037001001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12</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武汉大学高等研究院科研楼项目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HBSJ-202305FJ-082001001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13</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武汉理工大学科技孵化楼（三期）</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HBSJ-201904FJ-008012001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14</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华中科技大学2023年改善基本办学条件专项</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HBSJ-202303FJ-037003001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15</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南湖北院北2舍维修工程</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HBSJ-202305FJ-091001001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16</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江南·URD那溪谷三期商品房项目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HBSJ-201909FJ-010008001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17</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铁投·书香林语</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HBSJ-201904FJ-017008001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18</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武汉大学下九区22／23栋维修改造工程</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HBSJ-202303FJ-031001001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19</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中国地质大学（武汉）2023年中央高校改善基本办学条件专项</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HBSJ-202303FJ-041002001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20</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长投·云玺项目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HBSJ-201904FJ-019013001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21</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湖北省中医药研究院中医药研究中心大楼建设项目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HBSJ-201710FJ-016012001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22</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高端光电子器件产业基地建设项目一期工程</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HBSJ-202202FJ-021008001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23</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武汉天河机场员工倒班楼维修项目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HBSJ-202306FJ-098001001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24</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武汉纺织大学阳光校区理工楼改造项目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HBSJ-202304FJ-064001001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25</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长投·长河九里</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HBSJ-202103FJ-048010001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评标委员会成员不按招标文件规定评标标准和方法评标</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对评委进行约谈</w:t>
            </w: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26</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湖北广电基地生活配套项目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HBSJ-201901FJ-011036001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招标人编制招标文件不合理，招标文件中未明确评标委员会组建方式</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对招标人和代理机构进行</w:t>
            </w:r>
          </w:p>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约谈</w:t>
            </w: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27</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武汉职业技术学院图书馆改扩建项目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HBSJ-202011FJ-167003001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28</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长投生态中心</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HBSJ-202004FJ-020010001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29</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武汉天河机场旅客服务综合体项目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HBSJ-202107FJ-152008001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30</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郑店院内房屋改造工程项目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HBSJ-202301FJ-006001001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5000" w:type="pct"/>
            <w:gridSpan w:val="6"/>
            <w:shd w:val="clear" w:color="auto" w:fill="auto"/>
            <w:noWrap/>
            <w:vAlign w:val="center"/>
          </w:tcPr>
          <w:p>
            <w:pPr>
              <w:widowControl/>
              <w:adjustRightInd w:val="0"/>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交通类项目（20个）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十堰经镇坪至巫溪高速公路溢水至镇坪段施工监理招标</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HBSJ-202303GL-013001002</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2</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湖北交投实业发展有限公司2022年光伏电站施工招标</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HBSJ-202212GL-096001003</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3</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京港澳高速公路湖北境鄂豫界至军山段改扩建工程钢结构制作安装招标</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HBSJ-202201GL-005010003</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4</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宜都至来凤高速公路宜昌段柴埠溪特大桥钢梁制造</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HBSJ-202012GL-060007001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评标委员会成员不按招标文件规定评标标准和方法评标</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对评委进行约谈</w:t>
            </w: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5</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孝汉应高速公路（福银高速至武荆高速段）桥梁荷载试验招标</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HBSJ-202101GL-001011001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6</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黄黄高速公路2023-2024年土建养护施工项目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HBSJ-202307GL-044001001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7</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京港澳高速公路湖北境鄂豫界至军山段改扩建工程钢结构涂装施工招标</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HBSJ-202201GL-005011001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8</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麻城至阳新高速公路北延线投资人招标</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HBSJ-202305GL-031001001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9</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武汉至松滋高速公路江陵至松滋段（含观音寺长江大桥）通信线路迁改</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HBSJ-202203GL-018009001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10</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十堰经镇坪至巫溪高速公路郧西至鲍峡段机电工程施工监理招标</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HBSJ-202103GL-017009001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11</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宜都至来凤高速公路鹤峰东段桥梁荷载试验招标</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HBSJ-201911GL-003010001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12</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湖北楚天高速公路经营开发有限公司2023年高速公路服务区保安保洁服务招标</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HBSJ-202305GL-029001005</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13</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湖北楚天高速公路经营开发有限公司2023年高速公路服务区保安保洁服务招标</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HBSJ-202305GL-029001004</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14</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随州至信阳高速公路环保、水保技术咨询服务</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HBSJ-202206GL-047004001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15</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湖北联合交通投资开发有限公司所辖高速公路2023年度专项养护工程</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HBSJ-202304GL-019001003</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16</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武汉至重庆高速天门至宜昌段（天门荆门界至二广高速段）施工监理</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HBSJ-202307GL-048002001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17</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鄂黄第二过江通道(燕矶长江大桥及接线)通信线路迁改施工招标</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HBSJ-202011GL-051014001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18</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湖北楚天高速公路经营开发有限公司2023年高速公路服务区保安保洁服务招标</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HBSJ-202305GL-029001007</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19</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湖北交投实业发展有限公司2022年充电桩及配套设施工程施工招标</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HBSJ-202212GL-095001002</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评标委员会成员不按招标文件规定评标标准和方法评标</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对评委进行约谈</w:t>
            </w: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20</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武汉至松滋高速公路江陵至松滋段（含观音寺长江大桥）软基沉降观测招标</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HBSJ-202203GL-018011002</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5000" w:type="pct"/>
            <w:gridSpan w:val="6"/>
            <w:shd w:val="clear" w:color="auto" w:fill="auto"/>
            <w:noWrap/>
            <w:vAlign w:val="center"/>
          </w:tcPr>
          <w:p>
            <w:pPr>
              <w:widowControl/>
              <w:adjustRightInd w:val="0"/>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水利类项目（20个）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湖北省漳河灌区“十四五”续建配套与现代化改造工程三干渠项目区剩余项目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HBSJ-202303SL-009001002</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2</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鄂北地区水资源配置工程建管丛书编撰服务</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HBSJ-202302SL-006001001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3</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富水流域系统治理工程富水水库溢洪道及放空隧洞改造工程新增渠道电站引水管更新改造项目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HBSJ-202306SL-014001001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4</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三峡后续工作长江中下游影响处理湖北荆州段二期河道整治工程2023年度提前批项目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HBSJ-202301SL-002001004</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5</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湖北省漳河灌区“十四五”续建配套与现代化改造工程（二期）省直漳河项目区</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HBSJ-202301SL-001001001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6</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湖北省国家基本水文测站提档升级建设项目工程勘察设计</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HBSJ-202301SL-003001001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招标公告与投标人须知中公布的不良行为扣分值表述和代理费未列明细</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对招标人和代理机构进行</w:t>
            </w:r>
          </w:p>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约谈</w:t>
            </w: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7</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鄂北地区水资源配置工程沿线生态环境建设（孟楼节点）设计施工总承包</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HBSJ-202209SL-038001001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8</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湖北省洪湖东分块蓄滞洪区蓄洪工程套口进洪闸施工第3标段</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HBSJ-202308SL-018001001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9</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湖北省洪湖东分块蓄滞洪区蓄洪工程通信与信息系统项目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HBSJ-202301SL-004001001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10</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湖北省漳河灌区“十四五”续建配套与现代化改造工程三干渠项目区剩余项目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HBSJ-202303SL-009001003</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11</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湖北省碾盘山水利水电枢纽工程库区500KV斗樊II回131号塔保护施工</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HBSJ-202303SL-012001001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12</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三峡后续工作长江中下游影响处理湖北荆州段二期河道整治工程2023年度提前批项目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HBSJ-202301SL-002001001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13</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三峡后续工作长江中下游影响处理湖北荆州段二期河道整治工程2023年度提前批项目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HBSJ-202301SL-002001005</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14</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三峡后续工作长江中下游影响处理湖北荆州段二期河道整治工程2023年度提前批项目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HBSJ-202301SL-002001003</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15</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三峡后续工作长江中下游影响处理湖北荆州段二期河道整治工程2023年度提前批项目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HBSJ-202301SL-002002002</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16</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三峡后续工作长江中下游影响处理湖北荆州段二期河道整治工程2023年度提前批项目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HBSJ-202301SL-002002003</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17</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湖北省漳河灌区“十四五”续建配套与现代化改造工程三干渠项目区剩余项目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HBSJ-202303SL-009001001</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18</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三峡后续工作长江中下游影响处理湖北荆州段二期河道整治工程2023年度提前批项目</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HBSJ-202301SL-002001002</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19</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湖北省漳河灌区“十四五”续建配套与现代化改造工程（二期）省直漳河项目区</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HBSJ-202301SL-001001002</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1" w:type="dxa"/>
            <w:bottom w:w="0" w:type="dxa"/>
            <w:right w:w="51" w:type="dxa"/>
          </w:tblCellMar>
        </w:tblPrEx>
        <w:trPr>
          <w:trHeight w:val="454" w:hRule="atLeast"/>
          <w:jc w:val="center"/>
        </w:trPr>
        <w:tc>
          <w:tcPr>
            <w:tcW w:w="246"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20</w:t>
            </w:r>
          </w:p>
        </w:tc>
        <w:tc>
          <w:tcPr>
            <w:tcW w:w="1916" w:type="pct"/>
            <w:shd w:val="clear" w:color="auto" w:fill="auto"/>
            <w:vAlign w:val="center"/>
          </w:tcPr>
          <w:p>
            <w:pPr>
              <w:widowControl/>
              <w:adjustRightInd w:val="0"/>
              <w:snapToGrid w:val="0"/>
              <w:rPr>
                <w:rFonts w:ascii="仿宋_GB2312" w:hAnsi="微软雅黑" w:eastAsia="仿宋_GB2312" w:cs="宋体"/>
                <w:kern w:val="0"/>
                <w:sz w:val="28"/>
                <w:szCs w:val="28"/>
              </w:rPr>
            </w:pPr>
            <w:r>
              <w:rPr>
                <w:rFonts w:hint="eastAsia" w:ascii="仿宋_GB2312" w:hAnsi="微软雅黑" w:eastAsia="仿宋_GB2312" w:cs="宋体"/>
                <w:kern w:val="0"/>
                <w:sz w:val="28"/>
                <w:szCs w:val="28"/>
              </w:rPr>
              <w:t>湖北省漳河灌区“十四五”续建配套与现代化改造工程（二期）省直漳河项目区</w:t>
            </w:r>
          </w:p>
        </w:tc>
        <w:tc>
          <w:tcPr>
            <w:tcW w:w="1179"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HBSJ-202301SL-001001003</w:t>
            </w:r>
          </w:p>
        </w:tc>
        <w:tc>
          <w:tcPr>
            <w:tcW w:w="875"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未发现问题</w:t>
            </w:r>
          </w:p>
        </w:tc>
        <w:tc>
          <w:tcPr>
            <w:tcW w:w="491" w:type="pct"/>
            <w:shd w:val="clear" w:color="auto" w:fill="auto"/>
            <w:vAlign w:val="center"/>
          </w:tcPr>
          <w:p>
            <w:pPr>
              <w:widowControl/>
              <w:adjustRightInd w:val="0"/>
              <w:snapToGrid w:val="0"/>
              <w:jc w:val="center"/>
              <w:rPr>
                <w:rFonts w:ascii="仿宋_GB2312" w:hAnsi="微软雅黑" w:eastAsia="仿宋_GB2312" w:cs="宋体"/>
                <w:kern w:val="0"/>
                <w:sz w:val="28"/>
                <w:szCs w:val="28"/>
              </w:rPr>
            </w:pPr>
          </w:p>
        </w:tc>
        <w:tc>
          <w:tcPr>
            <w:tcW w:w="294" w:type="pct"/>
            <w:shd w:val="clear" w:color="auto" w:fill="auto"/>
            <w:noWrap/>
            <w:vAlign w:val="center"/>
          </w:tcPr>
          <w:p>
            <w:pPr>
              <w:widowControl/>
              <w:adjustRightInd w:val="0"/>
              <w:snapToGrid w:val="0"/>
              <w:jc w:val="center"/>
              <w:rPr>
                <w:rFonts w:ascii="仿宋_GB2312" w:hAnsi="宋体" w:eastAsia="仿宋_GB2312" w:cs="宋体"/>
                <w:kern w:val="0"/>
                <w:sz w:val="28"/>
                <w:szCs w:val="28"/>
              </w:rPr>
            </w:pPr>
          </w:p>
        </w:tc>
      </w:tr>
    </w:tbl>
    <w:p/>
    <w:sectPr>
      <w:headerReference r:id="rId3" w:type="default"/>
      <w:footerReference r:id="rId5" w:type="default"/>
      <w:headerReference r:id="rId4" w:type="even"/>
      <w:footerReference r:id="rId6" w:type="even"/>
      <w:pgSz w:w="16838" w:h="11906" w:orient="landscape"/>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rPr>
      <w:id w:val="1103307583"/>
      <w:docPartObj>
        <w:docPartGallery w:val="autotext"/>
      </w:docPartObj>
    </w:sdtPr>
    <w:sdtEndPr>
      <w:rPr>
        <w:rFonts w:asciiTheme="minorEastAsia" w:hAnsiTheme="minorEastAsia" w:eastAsiaTheme="minorEastAsia"/>
        <w:sz w:val="28"/>
      </w:rPr>
    </w:sdtEndPr>
    <w:sdtContent>
      <w:p>
        <w:pPr>
          <w:pStyle w:val="6"/>
          <w:jc w:val="center"/>
          <w:rPr>
            <w:rFonts w:asciiTheme="minorEastAsia" w:hAnsiTheme="minorEastAsia" w:eastAsiaTheme="minorEastAsia"/>
            <w:sz w:val="28"/>
          </w:rPr>
        </w:pPr>
        <w:r>
          <w:rPr>
            <w:rFonts w:hint="eastAsia" w:asciiTheme="minorEastAsia" w:hAnsiTheme="minorEastAsia" w:eastAsiaTheme="minorEastAsia"/>
            <w:sz w:val="28"/>
          </w:rPr>
          <w:t xml:space="preserve">— </w:t>
        </w:r>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5</w:t>
        </w:r>
        <w:r>
          <w:rPr>
            <w:rFonts w:asciiTheme="minorEastAsia" w:hAnsiTheme="minorEastAsia" w:eastAsiaTheme="minorEastAsia"/>
            <w:sz w:val="28"/>
          </w:rPr>
          <w:fldChar w:fldCharType="end"/>
        </w:r>
        <w:r>
          <w:rPr>
            <w:rFonts w:hint="eastAsia" w:asciiTheme="minorEastAsia" w:hAnsiTheme="minorEastAsia" w:eastAsiaTheme="minorEastAsia"/>
            <w:sz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rPr>
      <w:id w:val="-1624848485"/>
      <w:docPartObj>
        <w:docPartGallery w:val="autotext"/>
      </w:docPartObj>
    </w:sdtPr>
    <w:sdtEndPr>
      <w:rPr>
        <w:rFonts w:asciiTheme="minorEastAsia" w:hAnsiTheme="minorEastAsia" w:eastAsiaTheme="minorEastAsia"/>
        <w:sz w:val="28"/>
      </w:rPr>
    </w:sdtEndPr>
    <w:sdtContent>
      <w:p>
        <w:pPr>
          <w:pStyle w:val="6"/>
          <w:jc w:val="center"/>
          <w:rPr>
            <w:rFonts w:asciiTheme="minorEastAsia" w:hAnsiTheme="minorEastAsia" w:eastAsiaTheme="minorEastAsia"/>
            <w:sz w:val="28"/>
          </w:rPr>
        </w:pPr>
        <w:r>
          <w:rPr>
            <w:rFonts w:hint="eastAsia" w:asciiTheme="minorEastAsia" w:hAnsiTheme="minorEastAsia" w:eastAsiaTheme="minorEastAsia"/>
            <w:sz w:val="28"/>
          </w:rPr>
          <w:t xml:space="preserve">— </w:t>
        </w:r>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6</w:t>
        </w:r>
        <w:r>
          <w:rPr>
            <w:rFonts w:asciiTheme="minorEastAsia" w:hAnsiTheme="minorEastAsia" w:eastAsiaTheme="minorEastAsia"/>
            <w:sz w:val="28"/>
          </w:rPr>
          <w:fldChar w:fldCharType="end"/>
        </w:r>
        <w:r>
          <w:rPr>
            <w:rFonts w:hint="eastAsia" w:asciiTheme="minorEastAsia" w:hAnsiTheme="minorEastAsia" w:eastAsiaTheme="minorEastAsia"/>
            <w:sz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3ZGUwMzhlZjk1YTdkYmYwYTdiYzk0YmI3NzQ5NmQifQ=="/>
  </w:docVars>
  <w:rsids>
    <w:rsidRoot w:val="B6FD071A"/>
    <w:rsid w:val="00003C69"/>
    <w:rsid w:val="00007FAA"/>
    <w:rsid w:val="000531E7"/>
    <w:rsid w:val="00066727"/>
    <w:rsid w:val="001142A0"/>
    <w:rsid w:val="00195EB5"/>
    <w:rsid w:val="001A6A51"/>
    <w:rsid w:val="001C4058"/>
    <w:rsid w:val="001D4526"/>
    <w:rsid w:val="00270B44"/>
    <w:rsid w:val="002C6CE8"/>
    <w:rsid w:val="002E19C0"/>
    <w:rsid w:val="002F2CFF"/>
    <w:rsid w:val="002F7E65"/>
    <w:rsid w:val="003262EA"/>
    <w:rsid w:val="00344257"/>
    <w:rsid w:val="00354F17"/>
    <w:rsid w:val="00370BF9"/>
    <w:rsid w:val="003D46A0"/>
    <w:rsid w:val="0044297B"/>
    <w:rsid w:val="00514BBD"/>
    <w:rsid w:val="005C2954"/>
    <w:rsid w:val="00600759"/>
    <w:rsid w:val="00644D6F"/>
    <w:rsid w:val="006453B6"/>
    <w:rsid w:val="006A3CA2"/>
    <w:rsid w:val="0074555D"/>
    <w:rsid w:val="00761328"/>
    <w:rsid w:val="007D1D29"/>
    <w:rsid w:val="007D329D"/>
    <w:rsid w:val="00830014"/>
    <w:rsid w:val="008A79D2"/>
    <w:rsid w:val="008F2452"/>
    <w:rsid w:val="00A37BBE"/>
    <w:rsid w:val="00A47A46"/>
    <w:rsid w:val="00AB07DE"/>
    <w:rsid w:val="00AD3201"/>
    <w:rsid w:val="00AF1177"/>
    <w:rsid w:val="00B615C1"/>
    <w:rsid w:val="00C00F98"/>
    <w:rsid w:val="00C43576"/>
    <w:rsid w:val="00C62D80"/>
    <w:rsid w:val="00CC70D5"/>
    <w:rsid w:val="00DA547E"/>
    <w:rsid w:val="00E2445F"/>
    <w:rsid w:val="00E661FB"/>
    <w:rsid w:val="00F73B80"/>
    <w:rsid w:val="011040FB"/>
    <w:rsid w:val="031F5270"/>
    <w:rsid w:val="040109C0"/>
    <w:rsid w:val="064B017B"/>
    <w:rsid w:val="07AF1DEF"/>
    <w:rsid w:val="09370A52"/>
    <w:rsid w:val="0AD30417"/>
    <w:rsid w:val="0BF84E43"/>
    <w:rsid w:val="119E4FCD"/>
    <w:rsid w:val="13D2EF93"/>
    <w:rsid w:val="1AEA6C3F"/>
    <w:rsid w:val="1C203590"/>
    <w:rsid w:val="1EBBA948"/>
    <w:rsid w:val="1FFB2960"/>
    <w:rsid w:val="25752F29"/>
    <w:rsid w:val="27DA0CB1"/>
    <w:rsid w:val="27EC58AD"/>
    <w:rsid w:val="2A967FBC"/>
    <w:rsid w:val="2DFEB33D"/>
    <w:rsid w:val="2EFF2F2B"/>
    <w:rsid w:val="2FB5C951"/>
    <w:rsid w:val="2FFFE4F0"/>
    <w:rsid w:val="348B3054"/>
    <w:rsid w:val="349E7FB7"/>
    <w:rsid w:val="376F1C63"/>
    <w:rsid w:val="37DBEA2F"/>
    <w:rsid w:val="39F77F19"/>
    <w:rsid w:val="3CEF4FD7"/>
    <w:rsid w:val="3EED6460"/>
    <w:rsid w:val="3F321B7A"/>
    <w:rsid w:val="46136DBF"/>
    <w:rsid w:val="48F24EAF"/>
    <w:rsid w:val="49903643"/>
    <w:rsid w:val="499D2918"/>
    <w:rsid w:val="4D687140"/>
    <w:rsid w:val="4F3DF5A5"/>
    <w:rsid w:val="4F4DBD3C"/>
    <w:rsid w:val="50826251"/>
    <w:rsid w:val="50A52245"/>
    <w:rsid w:val="533DD542"/>
    <w:rsid w:val="57EB46C5"/>
    <w:rsid w:val="57FFAF70"/>
    <w:rsid w:val="59AC598B"/>
    <w:rsid w:val="5AFFB0CB"/>
    <w:rsid w:val="5BFAA4CD"/>
    <w:rsid w:val="5CAD102D"/>
    <w:rsid w:val="5E75A64D"/>
    <w:rsid w:val="5F9669C5"/>
    <w:rsid w:val="5FBDAB00"/>
    <w:rsid w:val="5FFBD53C"/>
    <w:rsid w:val="5FFE3548"/>
    <w:rsid w:val="5FFF8549"/>
    <w:rsid w:val="62D955A2"/>
    <w:rsid w:val="66234E5E"/>
    <w:rsid w:val="67A969DA"/>
    <w:rsid w:val="67BBAF1E"/>
    <w:rsid w:val="67DB4A24"/>
    <w:rsid w:val="6B6F73A5"/>
    <w:rsid w:val="6BDC95F7"/>
    <w:rsid w:val="6D75A935"/>
    <w:rsid w:val="6DEF7F8F"/>
    <w:rsid w:val="6E756E11"/>
    <w:rsid w:val="6E9263E1"/>
    <w:rsid w:val="6FFF3CD2"/>
    <w:rsid w:val="70CD1D42"/>
    <w:rsid w:val="722F28F0"/>
    <w:rsid w:val="728041C9"/>
    <w:rsid w:val="73F33ABC"/>
    <w:rsid w:val="76E7C85F"/>
    <w:rsid w:val="77EFEED8"/>
    <w:rsid w:val="79EF3946"/>
    <w:rsid w:val="7A1FCA71"/>
    <w:rsid w:val="7BDE6512"/>
    <w:rsid w:val="7D7BBAA9"/>
    <w:rsid w:val="7DA21B56"/>
    <w:rsid w:val="7E93CF13"/>
    <w:rsid w:val="7F4B183B"/>
    <w:rsid w:val="7FE6A005"/>
    <w:rsid w:val="7FFF9E45"/>
    <w:rsid w:val="91E721E5"/>
    <w:rsid w:val="97ABE217"/>
    <w:rsid w:val="9C7C0F98"/>
    <w:rsid w:val="9F6D83D9"/>
    <w:rsid w:val="B6FD071A"/>
    <w:rsid w:val="B6FD70DE"/>
    <w:rsid w:val="B7F747C5"/>
    <w:rsid w:val="BBFA2F3C"/>
    <w:rsid w:val="BCF20146"/>
    <w:rsid w:val="BFBFAD63"/>
    <w:rsid w:val="C49D12BC"/>
    <w:rsid w:val="C7AFC0B1"/>
    <w:rsid w:val="D6179839"/>
    <w:rsid w:val="DEBFBDEB"/>
    <w:rsid w:val="DF6E3398"/>
    <w:rsid w:val="DF77DB08"/>
    <w:rsid w:val="EBFD9B2B"/>
    <w:rsid w:val="ECE6E2E0"/>
    <w:rsid w:val="EE76DA83"/>
    <w:rsid w:val="EEEE4897"/>
    <w:rsid w:val="EFD68CFE"/>
    <w:rsid w:val="F4F63BA6"/>
    <w:rsid w:val="F5EB6A5D"/>
    <w:rsid w:val="F69DCA1C"/>
    <w:rsid w:val="F7BC7966"/>
    <w:rsid w:val="F7FB975A"/>
    <w:rsid w:val="FBBBEB4D"/>
    <w:rsid w:val="FBD0F343"/>
    <w:rsid w:val="FDD21823"/>
    <w:rsid w:val="FDDD2F32"/>
    <w:rsid w:val="FDF7790D"/>
    <w:rsid w:val="FEBA7AE4"/>
    <w:rsid w:val="FEDF2257"/>
    <w:rsid w:val="FF78F371"/>
    <w:rsid w:val="FFA710E0"/>
    <w:rsid w:val="FFBF420B"/>
    <w:rsid w:val="FFFF1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0"/>
    <w:pPr>
      <w:spacing w:after="120"/>
      <w:ind w:left="420" w:leftChars="200" w:firstLine="420" w:firstLineChars="200"/>
    </w:pPr>
    <w:rPr>
      <w:rFonts w:ascii="Times New Roman" w:hAnsi="Times New Roman"/>
      <w:szCs w:val="20"/>
    </w:rPr>
  </w:style>
  <w:style w:type="paragraph" w:styleId="3">
    <w:name w:val="Body Text Indent"/>
    <w:basedOn w:val="1"/>
    <w:next w:val="4"/>
    <w:autoRedefine/>
    <w:qFormat/>
    <w:uiPriority w:val="0"/>
    <w:pPr>
      <w:ind w:firstLine="660"/>
    </w:pPr>
    <w:rPr>
      <w:rFonts w:ascii="楷体_GB2312" w:hAnsi="宋体"/>
    </w:rPr>
  </w:style>
  <w:style w:type="paragraph" w:styleId="4">
    <w:name w:val="envelope return"/>
    <w:basedOn w:val="1"/>
    <w:autoRedefine/>
    <w:qFormat/>
    <w:uiPriority w:val="0"/>
    <w:pPr>
      <w:snapToGrid w:val="0"/>
    </w:pPr>
    <w:rPr>
      <w:rFonts w:ascii="Arial" w:hAnsi="Arial"/>
    </w:rPr>
  </w:style>
  <w:style w:type="paragraph" w:styleId="5">
    <w:name w:val="Balloon Text"/>
    <w:basedOn w:val="1"/>
    <w:link w:val="14"/>
    <w:autoRedefine/>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hint="eastAsia" w:ascii="宋体" w:hAnsi="宋体"/>
      <w:kern w:val="0"/>
      <w:sz w:val="24"/>
    </w:rPr>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autoRedefine/>
    <w:unhideWhenUsed/>
    <w:qFormat/>
    <w:uiPriority w:val="99"/>
    <w:pPr>
      <w:ind w:firstLine="420" w:firstLineChars="200"/>
    </w:pPr>
  </w:style>
  <w:style w:type="character" w:customStyle="1" w:styleId="13">
    <w:name w:val="页脚 Char"/>
    <w:basedOn w:val="11"/>
    <w:link w:val="6"/>
    <w:autoRedefine/>
    <w:qFormat/>
    <w:uiPriority w:val="99"/>
    <w:rPr>
      <w:kern w:val="2"/>
      <w:sz w:val="18"/>
      <w:szCs w:val="24"/>
    </w:rPr>
  </w:style>
  <w:style w:type="character" w:customStyle="1" w:styleId="14">
    <w:name w:val="批注框文本 Char"/>
    <w:basedOn w:val="11"/>
    <w:link w:val="5"/>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6</Pages>
  <Words>674</Words>
  <Characters>3846</Characters>
  <Lines>32</Lines>
  <Paragraphs>9</Paragraphs>
  <TotalTime>7</TotalTime>
  <ScaleCrop>false</ScaleCrop>
  <LinksUpToDate>false</LinksUpToDate>
  <CharactersWithSpaces>4511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2023-10-20T18:09:00Z</dcterms:created>
  <dc:creator>uos</dc:creator>
  <cp:lastModifiedBy>晚安</cp:lastModifiedBy>
  <cp:lastPrinted>2023-10-20T11:02:00Z</cp:lastPrinted>
  <dcterms:modified xsi:type="dcterms:W3CDTF">2024-04-07T09:52:46Z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507FC7E99C834B7EAD36148C6F898A13</vt:lpwstr>
  </property>
</Properties>
</file>